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E3A7" w14:textId="27B96CC0" w:rsidR="00FA38C7" w:rsidRPr="00FA38C7" w:rsidRDefault="00FA38C7" w:rsidP="00FA38C7">
      <w:pPr>
        <w:spacing w:after="0" w:line="240" w:lineRule="auto"/>
        <w:rPr>
          <w:rFonts w:ascii="Calibri" w:eastAsia="Times New Roman" w:hAnsi="Calibri" w:cs="Calibri"/>
          <w:kern w:val="0"/>
          <w14:ligatures w14:val="none"/>
        </w:rPr>
      </w:pPr>
      <w:r w:rsidRPr="00FA38C7">
        <w:rPr>
          <w:rFonts w:ascii="Calibri" w:eastAsia="Times New Roman" w:hAnsi="Calibri" w:cs="Calibri"/>
          <w:b/>
          <w:bCs/>
          <w:kern w:val="0"/>
          <w14:ligatures w14:val="none"/>
        </w:rPr>
        <w:t>The Catholic Thing - https://www.thecatholicthing.org</w:t>
      </w:r>
    </w:p>
    <w:p w14:paraId="1F5F51E4" w14:textId="77777777" w:rsidR="00FA38C7" w:rsidRPr="00FA38C7" w:rsidRDefault="00FA38C7" w:rsidP="00FA38C7">
      <w:pPr>
        <w:spacing w:before="100" w:beforeAutospacing="1" w:after="100" w:afterAutospacing="1" w:line="240" w:lineRule="auto"/>
        <w:outlineLvl w:val="0"/>
        <w:rPr>
          <w:rFonts w:ascii="Calibri" w:eastAsia="Times New Roman" w:hAnsi="Calibri" w:cs="Calibri"/>
          <w:b/>
          <w:bCs/>
          <w:kern w:val="36"/>
          <w14:ligatures w14:val="none"/>
        </w:rPr>
      </w:pPr>
      <w:r w:rsidRPr="00FA38C7">
        <w:rPr>
          <w:rFonts w:ascii="Calibri" w:eastAsia="Times New Roman" w:hAnsi="Calibri" w:cs="Calibri"/>
          <w:b/>
          <w:bCs/>
          <w:kern w:val="36"/>
          <w14:ligatures w14:val="none"/>
        </w:rPr>
        <w:t xml:space="preserve">On the Feast of the Holy Guardian Angels </w:t>
      </w:r>
    </w:p>
    <w:p w14:paraId="26D5519A" w14:textId="77777777" w:rsidR="00FA38C7" w:rsidRPr="00FA38C7" w:rsidRDefault="00FA38C7" w:rsidP="00FA38C7">
      <w:pPr>
        <w:spacing w:after="0" w:line="240" w:lineRule="auto"/>
        <w:rPr>
          <w:rFonts w:ascii="Calibri" w:eastAsia="Times New Roman" w:hAnsi="Calibri" w:cs="Calibri"/>
          <w:kern w:val="0"/>
          <w:sz w:val="22"/>
          <w:szCs w:val="22"/>
          <w14:ligatures w14:val="none"/>
        </w:rPr>
      </w:pPr>
      <w:r w:rsidRPr="00FA38C7">
        <w:rPr>
          <w:rFonts w:ascii="Calibri" w:eastAsia="Times New Roman" w:hAnsi="Calibri" w:cs="Calibri"/>
          <w:i/>
          <w:iCs/>
          <w:kern w:val="0"/>
          <w:sz w:val="22"/>
          <w:szCs w:val="22"/>
          <w14:ligatures w14:val="none"/>
        </w:rPr>
        <w:t>Stephen P. White</w:t>
      </w:r>
      <w:r w:rsidRPr="00FA38C7">
        <w:rPr>
          <w:rFonts w:ascii="Calibri" w:eastAsia="Times New Roman" w:hAnsi="Calibri" w:cs="Calibri"/>
          <w:kern w:val="0"/>
          <w:sz w:val="22"/>
          <w:szCs w:val="22"/>
          <w14:ligatures w14:val="none"/>
        </w:rPr>
        <w:t xml:space="preserve"> </w:t>
      </w:r>
    </w:p>
    <w:p w14:paraId="60A83625" w14:textId="77777777" w:rsidR="00FA38C7" w:rsidRPr="00FA38C7" w:rsidRDefault="00FA38C7" w:rsidP="00FA38C7">
      <w:pPr>
        <w:spacing w:before="75"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Thursday, October 2, 2025</w:t>
      </w:r>
    </w:p>
    <w:p w14:paraId="0980F529"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“Angel of God, my guardian dear, to whom God’s love commits me here. Ever this day be at my side, to light, to guard, to rule, and guide. Amen.”</w:t>
      </w:r>
    </w:p>
    <w:p w14:paraId="3349D660"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I don’t know how many times in my life I have prayed these words. Many thousands, no doubt. It was among the first prayers I ever learned, being part of the nightly routine of my childhood, and I have taught it to my own children as we say bedtime prayers. It is not only a bedtime prayer, to be sure, and bears frequent repetition at any time of night or day. If any further inducement were needed, devout recitation of this venerable prayer carries a partial indulgence.</w:t>
      </w:r>
    </w:p>
    <w:p w14:paraId="32B1E85C"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The prayer itself is surprisingly ancient, originating at least as early as the eleventh or twelfth century. Reverence for angels, of course, is much older, as even a passing familiarity with both the Old and New Testaments will show. Particular devotion to the guardian angels, whose feast day is today (October 2), dates to the earliest centuries of the Church. St. Basil the Great taught in the fourth century that, “each and every member of the faithful has a Guardian Angel to protect, guard and guide them through life.”</w:t>
      </w:r>
    </w:p>
    <w:p w14:paraId="6E2BCFD6"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Pope St. John XXIII (whose devotion to angels may have had something to do with his baptismal name, Angelo) exhorted the faithful to pray to their guardian angels and often. “Everyone of us is entrusted to the care of an angel,” he said, “That is why we must have a lively and profound devotion to our own guardian angel, and why we should often and trustfully repeat the dear prayer we were taught in the days of our childhood.”</w:t>
      </w:r>
    </w:p>
    <w:p w14:paraId="21D12A59"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 xml:space="preserve">For many of us, the Guardian Angel Prayer is so closely associated with childhood that it can sometimes be easy to associate the devotion to angels with </w:t>
      </w:r>
      <w:r w:rsidRPr="00FA38C7">
        <w:rPr>
          <w:rFonts w:ascii="Calibri" w:eastAsia="Times New Roman" w:hAnsi="Calibri" w:cs="Calibri"/>
          <w:i/>
          <w:iCs/>
          <w:kern w:val="0"/>
          <w:sz w:val="22"/>
          <w:szCs w:val="22"/>
          <w14:ligatures w14:val="none"/>
        </w:rPr>
        <w:t>childishness</w:t>
      </w:r>
      <w:r w:rsidRPr="00FA38C7">
        <w:rPr>
          <w:rFonts w:ascii="Calibri" w:eastAsia="Times New Roman" w:hAnsi="Calibri" w:cs="Calibri"/>
          <w:kern w:val="0"/>
          <w:sz w:val="22"/>
          <w:szCs w:val="22"/>
          <w14:ligatures w14:val="none"/>
        </w:rPr>
        <w:t xml:space="preserve">, a mistake made all the more common by the gauzy depictions of guardian angels which are regularly found in Catholic </w:t>
      </w:r>
      <w:r w:rsidRPr="00FA38C7">
        <w:rPr>
          <w:rFonts w:ascii="Calibri" w:eastAsia="Times New Roman" w:hAnsi="Calibri" w:cs="Calibri"/>
          <w:i/>
          <w:iCs/>
          <w:kern w:val="0"/>
          <w:sz w:val="22"/>
          <w:szCs w:val="22"/>
          <w14:ligatures w14:val="none"/>
        </w:rPr>
        <w:t>kitsch</w:t>
      </w:r>
      <w:r w:rsidRPr="00FA38C7">
        <w:rPr>
          <w:rFonts w:ascii="Calibri" w:eastAsia="Times New Roman" w:hAnsi="Calibri" w:cs="Calibri"/>
          <w:kern w:val="0"/>
          <w:sz w:val="22"/>
          <w:szCs w:val="22"/>
          <w14:ligatures w14:val="none"/>
        </w:rPr>
        <w:t>. But guardian angels are not the spiritual equivalent of Lassie.</w:t>
      </w:r>
    </w:p>
    <w:p w14:paraId="7052577E"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 xml:space="preserve">The </w:t>
      </w:r>
      <w:r w:rsidRPr="00FA38C7">
        <w:rPr>
          <w:rFonts w:ascii="Calibri" w:eastAsia="Times New Roman" w:hAnsi="Calibri" w:cs="Calibri"/>
          <w:i/>
          <w:iCs/>
          <w:kern w:val="0"/>
          <w:sz w:val="22"/>
          <w:szCs w:val="22"/>
          <w14:ligatures w14:val="none"/>
        </w:rPr>
        <w:t>Catechism</w:t>
      </w:r>
      <w:r w:rsidRPr="00FA38C7">
        <w:rPr>
          <w:rFonts w:ascii="Calibri" w:eastAsia="Times New Roman" w:hAnsi="Calibri" w:cs="Calibri"/>
          <w:kern w:val="0"/>
          <w:sz w:val="22"/>
          <w:szCs w:val="22"/>
          <w14:ligatures w14:val="none"/>
        </w:rPr>
        <w:t xml:space="preserve"> reminds us, quoting St. Augustine, that, “‘Angel’ is the name of their office, not of their nature. If you seek the name of their nature, it is ‘spirit’; if you seek the name of their office, it is ‘angel’: from what they are, ‘spirit’, from what they do, ‘angel.’” In Greek, an angel is a messenger.</w:t>
      </w:r>
    </w:p>
    <w:p w14:paraId="21F381B3"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 xml:space="preserve">The center of the angelic world, this world of messenger servant-spirits, is none other than Christ Himself, because, as the Catechism continues, “They are </w:t>
      </w:r>
      <w:r w:rsidRPr="00FA38C7">
        <w:rPr>
          <w:rFonts w:ascii="Calibri" w:eastAsia="Times New Roman" w:hAnsi="Calibri" w:cs="Calibri"/>
          <w:i/>
          <w:iCs/>
          <w:kern w:val="0"/>
          <w:sz w:val="22"/>
          <w:szCs w:val="22"/>
          <w14:ligatures w14:val="none"/>
        </w:rPr>
        <w:t xml:space="preserve">his </w:t>
      </w:r>
      <w:r w:rsidRPr="00FA38C7">
        <w:rPr>
          <w:rFonts w:ascii="Calibri" w:eastAsia="Times New Roman" w:hAnsi="Calibri" w:cs="Calibri"/>
          <w:kern w:val="0"/>
          <w:sz w:val="22"/>
          <w:szCs w:val="22"/>
          <w14:ligatures w14:val="none"/>
        </w:rPr>
        <w:t xml:space="preserve">angels. . . They belong to him because they were created </w:t>
      </w:r>
      <w:r w:rsidRPr="00FA38C7">
        <w:rPr>
          <w:rFonts w:ascii="Calibri" w:eastAsia="Times New Roman" w:hAnsi="Calibri" w:cs="Calibri"/>
          <w:i/>
          <w:iCs/>
          <w:kern w:val="0"/>
          <w:sz w:val="22"/>
          <w:szCs w:val="22"/>
          <w14:ligatures w14:val="none"/>
        </w:rPr>
        <w:t xml:space="preserve">through </w:t>
      </w:r>
      <w:r w:rsidRPr="00FA38C7">
        <w:rPr>
          <w:rFonts w:ascii="Calibri" w:eastAsia="Times New Roman" w:hAnsi="Calibri" w:cs="Calibri"/>
          <w:kern w:val="0"/>
          <w:sz w:val="22"/>
          <w:szCs w:val="22"/>
          <w14:ligatures w14:val="none"/>
        </w:rPr>
        <w:t xml:space="preserve">and </w:t>
      </w:r>
      <w:r w:rsidRPr="00FA38C7">
        <w:rPr>
          <w:rFonts w:ascii="Calibri" w:eastAsia="Times New Roman" w:hAnsi="Calibri" w:cs="Calibri"/>
          <w:i/>
          <w:iCs/>
          <w:kern w:val="0"/>
          <w:sz w:val="22"/>
          <w:szCs w:val="22"/>
          <w14:ligatures w14:val="none"/>
        </w:rPr>
        <w:t xml:space="preserve">for </w:t>
      </w:r>
      <w:r w:rsidRPr="00FA38C7">
        <w:rPr>
          <w:rFonts w:ascii="Calibri" w:eastAsia="Times New Roman" w:hAnsi="Calibri" w:cs="Calibri"/>
          <w:kern w:val="0"/>
          <w:sz w:val="22"/>
          <w:szCs w:val="22"/>
          <w14:ligatures w14:val="none"/>
        </w:rPr>
        <w:t>him.”</w:t>
      </w:r>
    </w:p>
    <w:p w14:paraId="15C36C59" w14:textId="77777777" w:rsidR="00FA38C7" w:rsidRPr="00FA38C7" w:rsidRDefault="00FA38C7" w:rsidP="00FA38C7">
      <w:pPr>
        <w:spacing w:after="0" w:line="240" w:lineRule="auto"/>
        <w:rPr>
          <w:rFonts w:ascii="Calibri" w:eastAsia="Times New Roman" w:hAnsi="Calibri" w:cs="Calibri"/>
          <w:kern w:val="0"/>
          <w:sz w:val="22"/>
          <w:szCs w:val="22"/>
          <w14:ligatures w14:val="none"/>
        </w:rPr>
      </w:pPr>
      <w:hyperlink r:id="rId4" w:tgtFrame="_blank" w:history="1">
        <w:r w:rsidRPr="00FA38C7">
          <w:rPr>
            <w:rFonts w:ascii="Calibri" w:eastAsia="Times New Roman" w:hAnsi="Calibri" w:cs="Calibri"/>
            <w:i/>
            <w:iCs/>
            <w:color w:val="0000FF"/>
            <w:kern w:val="0"/>
            <w:sz w:val="22"/>
            <w:szCs w:val="22"/>
            <w:u w:val="single"/>
            <w14:ligatures w14:val="none"/>
          </w:rPr>
          <w:t>The Guardian Angel</w:t>
        </w:r>
        <w:r w:rsidRPr="00FA38C7">
          <w:rPr>
            <w:rFonts w:ascii="Calibri" w:eastAsia="Times New Roman" w:hAnsi="Calibri" w:cs="Calibri"/>
            <w:color w:val="0000FF"/>
            <w:kern w:val="0"/>
            <w:sz w:val="22"/>
            <w:szCs w:val="22"/>
            <w:u w:val="single"/>
            <w14:ligatures w14:val="none"/>
          </w:rPr>
          <w:t xml:space="preserve"> </w:t>
        </w:r>
      </w:hyperlink>
      <w:r w:rsidRPr="00FA38C7">
        <w:rPr>
          <w:rFonts w:ascii="Calibri" w:eastAsia="Times New Roman" w:hAnsi="Calibri" w:cs="Calibri"/>
          <w:kern w:val="0"/>
          <w:sz w:val="22"/>
          <w:szCs w:val="22"/>
          <w:vertAlign w:val="superscript"/>
          <w14:ligatures w14:val="none"/>
        </w:rPr>
        <w:t>[1]</w:t>
      </w:r>
      <w:r w:rsidRPr="00FA38C7">
        <w:rPr>
          <w:rFonts w:ascii="Calibri" w:eastAsia="Times New Roman" w:hAnsi="Calibri" w:cs="Calibri"/>
          <w:kern w:val="0"/>
          <w:sz w:val="22"/>
          <w:szCs w:val="22"/>
          <w14:ligatures w14:val="none"/>
        </w:rPr>
        <w:t xml:space="preserve">by Henri Decaisne, c. 1836 [Royal Museum of Fine Arts, Antwerp] </w:t>
      </w:r>
    </w:p>
    <w:p w14:paraId="05204E47"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 Immortal beings, pure intellect and will, who eternally behold the face of the Father (Mt. 18:10) and who perfectly serve Christ the Lord are not to be taken lightly. Which is to say, real guardian angels are not at all like the bumbling, though lovable, Clarence from “It’s a Wonderful Life.” They are creatures, but they are not bumbling and they are not human.</w:t>
      </w:r>
    </w:p>
    <w:p w14:paraId="4367B942"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 xml:space="preserve">Not human and also higher than humans. Translations of Psalm 8 differ, but the author of Hebrews cites the psalm thus, “What is man that you are mindful of him, or the son of man that you care for him? You made him for a little while </w:t>
      </w:r>
      <w:r w:rsidRPr="00FA38C7">
        <w:rPr>
          <w:rFonts w:ascii="Calibri" w:eastAsia="Times New Roman" w:hAnsi="Calibri" w:cs="Calibri"/>
          <w:i/>
          <w:iCs/>
          <w:kern w:val="0"/>
          <w:sz w:val="22"/>
          <w:szCs w:val="22"/>
          <w14:ligatures w14:val="none"/>
        </w:rPr>
        <w:t>lower than the angels</w:t>
      </w:r>
      <w:r w:rsidRPr="00FA38C7">
        <w:rPr>
          <w:rFonts w:ascii="Calibri" w:eastAsia="Times New Roman" w:hAnsi="Calibri" w:cs="Calibri"/>
          <w:kern w:val="0"/>
          <w:sz w:val="22"/>
          <w:szCs w:val="22"/>
          <w14:ligatures w14:val="none"/>
        </w:rPr>
        <w:t>.” (emphasis added.)</w:t>
      </w:r>
    </w:p>
    <w:p w14:paraId="7D3AED0B"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St. Thomas Aquinas asked whether angels are more to the image of God than man is, to which he responded, “we must grant that, absolutely speaking, the angels are more to the image of God than man is, but that in some respects man is more like to God.”</w:t>
      </w:r>
    </w:p>
    <w:p w14:paraId="58A4B78E"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lastRenderedPageBreak/>
        <w:t xml:space="preserve">The mystery of the Incarnation sheds the fullest light on the implication of the </w:t>
      </w:r>
      <w:r w:rsidRPr="00FA38C7">
        <w:rPr>
          <w:rFonts w:ascii="Calibri" w:eastAsia="Times New Roman" w:hAnsi="Calibri" w:cs="Calibri"/>
          <w:i/>
          <w:iCs/>
          <w:kern w:val="0"/>
          <w:sz w:val="22"/>
          <w:szCs w:val="22"/>
          <w14:ligatures w14:val="none"/>
        </w:rPr>
        <w:t>Imago Dei</w:t>
      </w:r>
      <w:r w:rsidRPr="00FA38C7">
        <w:rPr>
          <w:rFonts w:ascii="Calibri" w:eastAsia="Times New Roman" w:hAnsi="Calibri" w:cs="Calibri"/>
          <w:kern w:val="0"/>
          <w:sz w:val="22"/>
          <w:szCs w:val="22"/>
          <w14:ligatures w14:val="none"/>
        </w:rPr>
        <w:t xml:space="preserve"> for human creatures, but the magnificence of the angels, in their closeness to Holy Trinity, remains undimmed.</w:t>
      </w:r>
    </w:p>
    <w:p w14:paraId="4222A677"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highlight w:val="yellow"/>
          <w14:ligatures w14:val="none"/>
        </w:rPr>
        <w:t>The Church explicitly cautions against taking a childish view of angels.</w:t>
      </w:r>
      <w:r w:rsidRPr="00FA38C7">
        <w:rPr>
          <w:rFonts w:ascii="Calibri" w:eastAsia="Times New Roman" w:hAnsi="Calibri" w:cs="Calibri"/>
          <w:kern w:val="0"/>
          <w:sz w:val="22"/>
          <w:szCs w:val="22"/>
          <w14:ligatures w14:val="none"/>
        </w:rPr>
        <w:t xml:space="preserve"> In an interesting (though little-read) </w:t>
      </w:r>
      <w:hyperlink r:id="rId5" w:anchor="Chapter%20Six" w:history="1">
        <w:r w:rsidRPr="00FA38C7">
          <w:rPr>
            <w:rFonts w:ascii="Calibri" w:eastAsia="Times New Roman" w:hAnsi="Calibri" w:cs="Calibri"/>
            <w:color w:val="0000FF"/>
            <w:kern w:val="0"/>
            <w:sz w:val="22"/>
            <w:szCs w:val="22"/>
            <w:u w:val="single"/>
            <w14:ligatures w14:val="none"/>
          </w:rPr>
          <w:t>document</w:t>
        </w:r>
      </w:hyperlink>
      <w:r w:rsidRPr="00FA38C7">
        <w:rPr>
          <w:rFonts w:ascii="Calibri" w:eastAsia="Times New Roman" w:hAnsi="Calibri" w:cs="Calibri"/>
          <w:kern w:val="0"/>
          <w:sz w:val="22"/>
          <w:szCs w:val="22"/>
          <w14:ligatures w14:val="none"/>
        </w:rPr>
        <w:t xml:space="preserve"> </w:t>
      </w:r>
      <w:r w:rsidRPr="00FA38C7">
        <w:rPr>
          <w:rFonts w:ascii="Calibri" w:eastAsia="Times New Roman" w:hAnsi="Calibri" w:cs="Calibri"/>
          <w:kern w:val="0"/>
          <w:sz w:val="22"/>
          <w:szCs w:val="22"/>
          <w:vertAlign w:val="superscript"/>
          <w14:ligatures w14:val="none"/>
        </w:rPr>
        <w:t>[2]</w:t>
      </w:r>
      <w:r w:rsidRPr="00FA38C7">
        <w:rPr>
          <w:rFonts w:ascii="Calibri" w:eastAsia="Times New Roman" w:hAnsi="Calibri" w:cs="Calibri"/>
          <w:kern w:val="0"/>
          <w:sz w:val="22"/>
          <w:szCs w:val="22"/>
          <w14:ligatures w14:val="none"/>
        </w:rPr>
        <w:t xml:space="preserve"> from the then-Congregation for Divine Worship and the Discipline of the Sacraments, the faithful are cautioned against certain “deviations” in popular piety with regard to angels. One such deviation occurs:</w:t>
      </w:r>
    </w:p>
    <w:p w14:paraId="465901F1"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when the daily events of life, which have nothing or little to do with our progressive maturing on the journey towards Christ are read schematically or simplistically, indeed childishly, so as to ascribe all setbacks to the Devil and all success to the Guardian Angels. The practice of assigning names to the Holy Angels should be discouraged, except in the cases of Gabriel, Raphael, and Michael whose names are contained in Holy Scripture.</w:t>
      </w:r>
    </w:p>
    <w:p w14:paraId="5FAC44CE"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Our guardian angels serve and protect us, not because we are their masters, but because the Lord commands them to do so. We certainly ought not assign them names – with the listed exceptions – as though they were pets or imaginary friends.</w:t>
      </w:r>
    </w:p>
    <w:p w14:paraId="6ED86CE6"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Another deviation the Church cautions against occurs:</w:t>
      </w:r>
    </w:p>
    <w:p w14:paraId="7FD69A21"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when, as sometimes can happen, the faithful are taken by the idea that the world is subject to demiurgical struggles, or an incessant battle between good and evil spirits, or Angels and daemons, in which man is left at the mercy of superior forces and over which he is helpless; such cosmologies bear little relation to the true Gospel vision of the struggle to overcome the Devil, which requires moral commitment, a fundamental option for the Gospel, humility and prayer.</w:t>
      </w:r>
    </w:p>
    <w:p w14:paraId="66E3D773"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Spiritual combat is real, no doubt. But we are not helpless semi-spectators caught up in a struggle that is beyond our power to engage.</w:t>
      </w:r>
    </w:p>
    <w:p w14:paraId="4DCD5388"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We should never take lightly the inestimable value of having been placed under the personal protection and guidance of such a powerful helper and guide as our guardian angels. In our guardian angels, we find a comforting reminder of God’s love for us, a sobering reminder of the stakes of the spiritual life, and a magnificent reminder of the glory of the Creator, shining through the manifold goodness of all He has created – the seen and unseen, alike.</w:t>
      </w:r>
    </w:p>
    <w:p w14:paraId="590A72CE"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i/>
          <w:iCs/>
          <w:kern w:val="0"/>
          <w:sz w:val="22"/>
          <w:szCs w:val="22"/>
          <w14:ligatures w14:val="none"/>
        </w:rPr>
        <w:t>Stephen P. White is executive director of The Catholic Project at The Catholic University of America and a fellow in Catholic Studies at the Ethics and Public Policy Center.</w:t>
      </w:r>
    </w:p>
    <w:p w14:paraId="00E31FFB"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 xml:space="preserve">Article printed from The Catholic Thing: </w:t>
      </w:r>
      <w:r w:rsidRPr="00FA38C7">
        <w:rPr>
          <w:rFonts w:ascii="Calibri" w:eastAsia="Times New Roman" w:hAnsi="Calibri" w:cs="Calibri"/>
          <w:b/>
          <w:bCs/>
          <w:kern w:val="0"/>
          <w:sz w:val="22"/>
          <w:szCs w:val="22"/>
          <w14:ligatures w14:val="none"/>
        </w:rPr>
        <w:t xml:space="preserve">https://www.thecatholicthing.org </w:t>
      </w:r>
    </w:p>
    <w:p w14:paraId="244E9D2D"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 xml:space="preserve">URL to article: </w:t>
      </w:r>
      <w:r w:rsidRPr="00FA38C7">
        <w:rPr>
          <w:rFonts w:ascii="Calibri" w:eastAsia="Times New Roman" w:hAnsi="Calibri" w:cs="Calibri"/>
          <w:b/>
          <w:bCs/>
          <w:kern w:val="0"/>
          <w:sz w:val="22"/>
          <w:szCs w:val="22"/>
          <w14:ligatures w14:val="none"/>
        </w:rPr>
        <w:t xml:space="preserve">https://www.thecatholicthing.org/2025/10/02/on-the-feast-of-the-holy-guardian-angels/ </w:t>
      </w:r>
    </w:p>
    <w:p w14:paraId="76F09BA4" w14:textId="77777777" w:rsidR="00FA38C7" w:rsidRPr="00FA38C7" w:rsidRDefault="00FA38C7" w:rsidP="00FA38C7">
      <w:pPr>
        <w:spacing w:before="100" w:beforeAutospacing="1" w:after="100" w:afterAutospacing="1"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URLs in this post:</w:t>
      </w:r>
    </w:p>
    <w:p w14:paraId="078FD52F" w14:textId="77777777" w:rsidR="00FA38C7" w:rsidRPr="00FA38C7" w:rsidRDefault="00FA38C7" w:rsidP="00FA38C7">
      <w:pPr>
        <w:spacing w:before="30" w:after="30"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 xml:space="preserve">[1] </w:t>
      </w:r>
    </w:p>
    <w:p w14:paraId="33F22BD7" w14:textId="77777777" w:rsidR="00FA38C7" w:rsidRPr="00FA38C7" w:rsidRDefault="00FA38C7" w:rsidP="00FA38C7">
      <w:pPr>
        <w:spacing w:after="0" w:line="240" w:lineRule="auto"/>
        <w:rPr>
          <w:rFonts w:ascii="Calibri" w:eastAsia="Times New Roman" w:hAnsi="Calibri" w:cs="Calibri"/>
          <w:color w:val="0000FF"/>
          <w:kern w:val="0"/>
          <w:sz w:val="22"/>
          <w:szCs w:val="22"/>
          <w:u w:val="single"/>
          <w14:ligatures w14:val="none"/>
        </w:rPr>
      </w:pPr>
      <w:r w:rsidRPr="00FA38C7">
        <w:rPr>
          <w:rFonts w:ascii="Calibri" w:eastAsia="Times New Roman" w:hAnsi="Calibri" w:cs="Calibri"/>
          <w:kern w:val="0"/>
          <w:sz w:val="22"/>
          <w:szCs w:val="22"/>
          <w14:ligatures w14:val="none"/>
        </w:rPr>
        <w:fldChar w:fldCharType="begin"/>
      </w:r>
      <w:r w:rsidRPr="00FA38C7">
        <w:rPr>
          <w:rFonts w:ascii="Calibri" w:eastAsia="Times New Roman" w:hAnsi="Calibri" w:cs="Calibri"/>
          <w:kern w:val="0"/>
          <w:sz w:val="22"/>
          <w:szCs w:val="22"/>
          <w14:ligatures w14:val="none"/>
        </w:rPr>
        <w:instrText>HYPERLINK "https://www.kmska.be/en/masterpiece/the-guardian-angel" \t "_blank"</w:instrText>
      </w:r>
      <w:r w:rsidRPr="00FA38C7">
        <w:rPr>
          <w:rFonts w:ascii="Calibri" w:eastAsia="Times New Roman" w:hAnsi="Calibri" w:cs="Calibri"/>
          <w:kern w:val="0"/>
          <w:sz w:val="22"/>
          <w:szCs w:val="22"/>
          <w14:ligatures w14:val="none"/>
        </w:rPr>
      </w:r>
      <w:r w:rsidRPr="00FA38C7">
        <w:rPr>
          <w:rFonts w:ascii="Calibri" w:eastAsia="Times New Roman" w:hAnsi="Calibri" w:cs="Calibri"/>
          <w:kern w:val="0"/>
          <w:sz w:val="22"/>
          <w:szCs w:val="22"/>
          <w14:ligatures w14:val="none"/>
        </w:rPr>
        <w:fldChar w:fldCharType="separate"/>
      </w:r>
      <w:r w:rsidRPr="00FA38C7">
        <w:rPr>
          <w:rFonts w:ascii="Calibri" w:eastAsia="Times New Roman" w:hAnsi="Calibri" w:cs="Calibri"/>
          <w:i/>
          <w:iCs/>
          <w:color w:val="0000FF"/>
          <w:kern w:val="0"/>
          <w:sz w:val="22"/>
          <w:szCs w:val="22"/>
          <w:u w:val="single"/>
          <w14:ligatures w14:val="none"/>
        </w:rPr>
        <w:t>The Guardian Angel</w:t>
      </w:r>
      <w:r w:rsidRPr="00FA38C7">
        <w:rPr>
          <w:rFonts w:ascii="Calibri" w:eastAsia="Times New Roman" w:hAnsi="Calibri" w:cs="Calibri"/>
          <w:color w:val="0000FF"/>
          <w:kern w:val="0"/>
          <w:sz w:val="22"/>
          <w:szCs w:val="22"/>
          <w:u w:val="single"/>
          <w14:ligatures w14:val="none"/>
        </w:rPr>
        <w:t xml:space="preserve"> : </w:t>
      </w:r>
      <w:r w:rsidRPr="00FA38C7">
        <w:rPr>
          <w:rFonts w:ascii="Calibri" w:eastAsia="Times New Roman" w:hAnsi="Calibri" w:cs="Calibri"/>
          <w:b/>
          <w:bCs/>
          <w:color w:val="0000FF"/>
          <w:kern w:val="0"/>
          <w:sz w:val="22"/>
          <w:szCs w:val="22"/>
          <w:u w:val="single"/>
          <w14:ligatures w14:val="none"/>
        </w:rPr>
        <w:t>https://www.thecatholicthing.org/wp-content/uploads/Henri-Decaisne-Guardian-Angel-1.jpeg</w:t>
      </w:r>
    </w:p>
    <w:p w14:paraId="6C88A0AF" w14:textId="77777777" w:rsidR="00FA38C7" w:rsidRPr="00FA38C7" w:rsidRDefault="00FA38C7" w:rsidP="00FA38C7">
      <w:pPr>
        <w:spacing w:before="30" w:after="30" w:line="240" w:lineRule="auto"/>
        <w:rPr>
          <w:rFonts w:ascii="Calibri" w:eastAsia="Times New Roman" w:hAnsi="Calibri" w:cs="Calibri"/>
          <w:kern w:val="0"/>
          <w:sz w:val="22"/>
          <w:szCs w:val="22"/>
          <w14:ligatures w14:val="none"/>
        </w:rPr>
      </w:pPr>
      <w:r w:rsidRPr="00FA38C7">
        <w:rPr>
          <w:rFonts w:ascii="Calibri" w:eastAsia="Times New Roman" w:hAnsi="Calibri" w:cs="Calibri"/>
          <w:color w:val="0000FF"/>
          <w:kern w:val="0"/>
          <w:sz w:val="22"/>
          <w:szCs w:val="22"/>
          <w:u w:val="single"/>
          <w14:ligatures w14:val="none"/>
        </w:rPr>
        <w:t xml:space="preserve">[2] document: </w:t>
      </w:r>
      <w:r w:rsidRPr="00FA38C7">
        <w:rPr>
          <w:rFonts w:ascii="Calibri" w:eastAsia="Times New Roman" w:hAnsi="Calibri" w:cs="Calibri"/>
          <w:b/>
          <w:bCs/>
          <w:color w:val="0000FF"/>
          <w:kern w:val="0"/>
          <w:sz w:val="22"/>
          <w:szCs w:val="22"/>
          <w:u w:val="single"/>
          <w14:ligatures w14:val="none"/>
        </w:rPr>
        <w:t>https://www.vatican.va/roman_curia/congregations/ccdds/documents/rc_con_ccdds_doc_20020513_vers-direttorio_en.html#Chapter%20Six</w:t>
      </w:r>
    </w:p>
    <w:p w14:paraId="508941A6" w14:textId="77777777" w:rsidR="00FA38C7" w:rsidRPr="00FA38C7" w:rsidRDefault="00FA38C7" w:rsidP="00FA38C7">
      <w:pPr>
        <w:spacing w:after="0" w:line="240" w:lineRule="auto"/>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fldChar w:fldCharType="end"/>
      </w:r>
    </w:p>
    <w:p w14:paraId="22DEA433" w14:textId="77777777" w:rsidR="00FA38C7" w:rsidRPr="00FA38C7" w:rsidRDefault="00FA38C7" w:rsidP="00FA38C7">
      <w:pPr>
        <w:spacing w:before="100" w:beforeAutospacing="1" w:after="100" w:afterAutospacing="1" w:line="240" w:lineRule="auto"/>
        <w:jc w:val="center"/>
        <w:rPr>
          <w:rFonts w:ascii="Calibri" w:eastAsia="Times New Roman" w:hAnsi="Calibri" w:cs="Calibri"/>
          <w:kern w:val="0"/>
          <w:sz w:val="22"/>
          <w:szCs w:val="22"/>
          <w14:ligatures w14:val="none"/>
        </w:rPr>
      </w:pPr>
      <w:r w:rsidRPr="00FA38C7">
        <w:rPr>
          <w:rFonts w:ascii="Calibri" w:eastAsia="Times New Roman" w:hAnsi="Calibri" w:cs="Calibri"/>
          <w:kern w:val="0"/>
          <w:sz w:val="22"/>
          <w:szCs w:val="22"/>
          <w14:ligatures w14:val="none"/>
        </w:rPr>
        <w:t xml:space="preserve">Copyright © The Catholic Thing. All rights reserved. </w:t>
      </w:r>
    </w:p>
    <w:p w14:paraId="53F3508F" w14:textId="77777777" w:rsidR="004C012D" w:rsidRPr="00FA38C7" w:rsidRDefault="004C012D">
      <w:pPr>
        <w:rPr>
          <w:rFonts w:ascii="Calibri" w:hAnsi="Calibri" w:cs="Calibri"/>
        </w:rPr>
      </w:pPr>
    </w:p>
    <w:sectPr w:rsidR="004C012D" w:rsidRPr="00FA38C7" w:rsidSect="00FA38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C7"/>
    <w:rsid w:val="00413B5A"/>
    <w:rsid w:val="004C012D"/>
    <w:rsid w:val="00A57913"/>
    <w:rsid w:val="00DB7023"/>
    <w:rsid w:val="00DF015D"/>
    <w:rsid w:val="00EA58EE"/>
    <w:rsid w:val="00F2310A"/>
    <w:rsid w:val="00FA38C7"/>
    <w:rsid w:val="00FF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312E5E"/>
  <w15:chartTrackingRefBased/>
  <w15:docId w15:val="{3DBD7C16-7906-6642-8625-1969457A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8C7"/>
    <w:rPr>
      <w:rFonts w:eastAsiaTheme="majorEastAsia" w:cstheme="majorBidi"/>
      <w:color w:val="272727" w:themeColor="text1" w:themeTint="D8"/>
    </w:rPr>
  </w:style>
  <w:style w:type="paragraph" w:styleId="Title">
    <w:name w:val="Title"/>
    <w:basedOn w:val="Normal"/>
    <w:next w:val="Normal"/>
    <w:link w:val="TitleChar"/>
    <w:uiPriority w:val="10"/>
    <w:qFormat/>
    <w:rsid w:val="00FA3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8C7"/>
    <w:pPr>
      <w:spacing w:before="160"/>
      <w:jc w:val="center"/>
    </w:pPr>
    <w:rPr>
      <w:i/>
      <w:iCs/>
      <w:color w:val="404040" w:themeColor="text1" w:themeTint="BF"/>
    </w:rPr>
  </w:style>
  <w:style w:type="character" w:customStyle="1" w:styleId="QuoteChar">
    <w:name w:val="Quote Char"/>
    <w:basedOn w:val="DefaultParagraphFont"/>
    <w:link w:val="Quote"/>
    <w:uiPriority w:val="29"/>
    <w:rsid w:val="00FA38C7"/>
    <w:rPr>
      <w:i/>
      <w:iCs/>
      <w:color w:val="404040" w:themeColor="text1" w:themeTint="BF"/>
    </w:rPr>
  </w:style>
  <w:style w:type="paragraph" w:styleId="ListParagraph">
    <w:name w:val="List Paragraph"/>
    <w:basedOn w:val="Normal"/>
    <w:uiPriority w:val="34"/>
    <w:qFormat/>
    <w:rsid w:val="00FA38C7"/>
    <w:pPr>
      <w:ind w:left="720"/>
      <w:contextualSpacing/>
    </w:pPr>
  </w:style>
  <w:style w:type="character" w:styleId="IntenseEmphasis">
    <w:name w:val="Intense Emphasis"/>
    <w:basedOn w:val="DefaultParagraphFont"/>
    <w:uiPriority w:val="21"/>
    <w:qFormat/>
    <w:rsid w:val="00FA38C7"/>
    <w:rPr>
      <w:i/>
      <w:iCs/>
      <w:color w:val="0F4761" w:themeColor="accent1" w:themeShade="BF"/>
    </w:rPr>
  </w:style>
  <w:style w:type="paragraph" w:styleId="IntenseQuote">
    <w:name w:val="Intense Quote"/>
    <w:basedOn w:val="Normal"/>
    <w:next w:val="Normal"/>
    <w:link w:val="IntenseQuoteChar"/>
    <w:uiPriority w:val="30"/>
    <w:qFormat/>
    <w:rsid w:val="00FA3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8C7"/>
    <w:rPr>
      <w:i/>
      <w:iCs/>
      <w:color w:val="0F4761" w:themeColor="accent1" w:themeShade="BF"/>
    </w:rPr>
  </w:style>
  <w:style w:type="character" w:styleId="IntenseReference">
    <w:name w:val="Intense Reference"/>
    <w:basedOn w:val="DefaultParagraphFont"/>
    <w:uiPriority w:val="32"/>
    <w:qFormat/>
    <w:rsid w:val="00FA38C7"/>
    <w:rPr>
      <w:b/>
      <w:bCs/>
      <w:smallCaps/>
      <w:color w:val="0F4761" w:themeColor="accent1" w:themeShade="BF"/>
      <w:spacing w:val="5"/>
    </w:rPr>
  </w:style>
  <w:style w:type="character" w:styleId="Strong">
    <w:name w:val="Strong"/>
    <w:basedOn w:val="DefaultParagraphFont"/>
    <w:uiPriority w:val="22"/>
    <w:qFormat/>
    <w:rsid w:val="00FA38C7"/>
    <w:rPr>
      <w:b/>
      <w:bCs/>
    </w:rPr>
  </w:style>
  <w:style w:type="character" w:customStyle="1" w:styleId="entry-date">
    <w:name w:val="entry-date"/>
    <w:basedOn w:val="DefaultParagraphFont"/>
    <w:rsid w:val="00FA38C7"/>
  </w:style>
  <w:style w:type="character" w:styleId="HTMLCite">
    <w:name w:val="HTML Cite"/>
    <w:basedOn w:val="DefaultParagraphFont"/>
    <w:uiPriority w:val="99"/>
    <w:semiHidden/>
    <w:unhideWhenUsed/>
    <w:rsid w:val="00FA38C7"/>
    <w:rPr>
      <w:i/>
      <w:iCs/>
    </w:rPr>
  </w:style>
  <w:style w:type="paragraph" w:styleId="NormalWeb">
    <w:name w:val="Normal (Web)"/>
    <w:basedOn w:val="Normal"/>
    <w:uiPriority w:val="99"/>
    <w:semiHidden/>
    <w:unhideWhenUsed/>
    <w:rsid w:val="00FA38C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A38C7"/>
    <w:rPr>
      <w:color w:val="0000FF"/>
      <w:u w:val="single"/>
    </w:rPr>
  </w:style>
  <w:style w:type="character" w:styleId="Emphasis">
    <w:name w:val="Emphasis"/>
    <w:basedOn w:val="DefaultParagraphFont"/>
    <w:uiPriority w:val="20"/>
    <w:qFormat/>
    <w:rsid w:val="00FA38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va/roman_curia/congregations/ccdds/documents/rc_con_ccdds_doc_20020513_vers-direttorio_en.html" TargetMode="External"/><Relationship Id="rId4" Type="http://schemas.openxmlformats.org/officeDocument/2006/relationships/hyperlink" Target="https://www.kmska.be/en/masterpiece/the-guardian-ang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2</cp:revision>
  <cp:lastPrinted>2025-10-02T12:58:00Z</cp:lastPrinted>
  <dcterms:created xsi:type="dcterms:W3CDTF">2025-10-05T23:35:00Z</dcterms:created>
  <dcterms:modified xsi:type="dcterms:W3CDTF">2025-10-05T23:35:00Z</dcterms:modified>
</cp:coreProperties>
</file>